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firstLine="720"/>
        <w:jc w:val="both"/>
        <w:rPr>
          <w:rFonts w:ascii="Caveat" w:cs="Caveat" w:eastAsia="Caveat" w:hAnsi="Caveat"/>
          <w:sz w:val="40"/>
          <w:szCs w:val="40"/>
        </w:rPr>
      </w:pPr>
      <w:r w:rsidDel="00000000" w:rsidR="00000000" w:rsidRPr="00000000">
        <w:rPr>
          <w:rFonts w:ascii="Caveat" w:cs="Caveat" w:eastAsia="Caveat" w:hAnsi="Caveat"/>
          <w:sz w:val="40"/>
          <w:szCs w:val="40"/>
          <w:rtl w:val="0"/>
        </w:rPr>
        <w:t xml:space="preserve">Archive n°21bg65l</w:t>
      </w:r>
    </w:p>
    <w:p w:rsidR="00000000" w:rsidDel="00000000" w:rsidP="00000000" w:rsidRDefault="00000000" w:rsidRPr="00000000" w14:paraId="00000002">
      <w:pPr>
        <w:spacing w:after="0" w:line="240" w:lineRule="auto"/>
        <w:ind w:firstLine="720"/>
        <w:jc w:val="both"/>
        <w:rPr>
          <w:rFonts w:ascii="Caveat" w:cs="Caveat" w:eastAsia="Caveat" w:hAnsi="Caveat"/>
          <w:sz w:val="40"/>
          <w:szCs w:val="40"/>
        </w:rPr>
      </w:pPr>
      <w:r w:rsidDel="00000000" w:rsidR="00000000" w:rsidRPr="00000000">
        <w:rPr>
          <w:rFonts w:ascii="Caveat" w:cs="Caveat" w:eastAsia="Caveat" w:hAnsi="Caveat"/>
          <w:sz w:val="40"/>
          <w:szCs w:val="40"/>
          <w:rtl w:val="0"/>
        </w:rPr>
        <w:t xml:space="preserve">Statut : ultra secret catégorie 7</w:t>
      </w:r>
    </w:p>
    <w:p w:rsidR="00000000" w:rsidDel="00000000" w:rsidP="00000000" w:rsidRDefault="00000000" w:rsidRPr="00000000" w14:paraId="00000003">
      <w:pPr>
        <w:spacing w:after="0" w:line="240" w:lineRule="auto"/>
        <w:ind w:firstLine="720"/>
        <w:jc w:val="both"/>
        <w:rPr>
          <w:rFonts w:ascii="Caveat" w:cs="Caveat" w:eastAsia="Caveat" w:hAnsi="Caveat"/>
          <w:sz w:val="40"/>
          <w:szCs w:val="40"/>
        </w:rPr>
      </w:pPr>
      <w:r w:rsidDel="00000000" w:rsidR="00000000" w:rsidRPr="00000000">
        <w:rPr>
          <w:rFonts w:ascii="Caveat" w:cs="Caveat" w:eastAsia="Caveat" w:hAnsi="Caveat"/>
          <w:sz w:val="40"/>
          <w:szCs w:val="40"/>
          <w:rtl w:val="0"/>
        </w:rPr>
        <w:t xml:space="preserve">Type : formule magique</w:t>
      </w:r>
    </w:p>
    <w:p w:rsidR="00000000" w:rsidDel="00000000" w:rsidP="00000000" w:rsidRDefault="00000000" w:rsidRPr="00000000" w14:paraId="00000004">
      <w:pPr>
        <w:spacing w:after="0" w:line="240" w:lineRule="auto"/>
        <w:ind w:firstLine="720"/>
        <w:jc w:val="both"/>
        <w:rPr>
          <w:rFonts w:ascii="Caveat" w:cs="Caveat" w:eastAsia="Caveat" w:hAnsi="Caveat"/>
          <w:sz w:val="40"/>
          <w:szCs w:val="40"/>
        </w:rPr>
      </w:pPr>
      <w:r w:rsidDel="00000000" w:rsidR="00000000" w:rsidRPr="00000000">
        <w:rPr>
          <w:rFonts w:ascii="Caveat" w:cs="Caveat" w:eastAsia="Caveat" w:hAnsi="Caveat"/>
          <w:sz w:val="40"/>
          <w:szCs w:val="40"/>
          <w:rtl w:val="0"/>
        </w:rPr>
        <w:t xml:space="preserve">Etat de service : utilisé au 17</w:t>
      </w:r>
      <w:r w:rsidDel="00000000" w:rsidR="00000000" w:rsidRPr="00000000">
        <w:rPr>
          <w:rFonts w:ascii="Caveat" w:cs="Caveat" w:eastAsia="Caveat" w:hAnsi="Caveat"/>
          <w:sz w:val="40"/>
          <w:szCs w:val="40"/>
          <w:vertAlign w:val="superscript"/>
          <w:rtl w:val="0"/>
        </w:rPr>
        <w:t xml:space="preserve">ème</w:t>
      </w:r>
      <w:r w:rsidDel="00000000" w:rsidR="00000000" w:rsidRPr="00000000">
        <w:rPr>
          <w:rFonts w:ascii="Caveat" w:cs="Caveat" w:eastAsia="Caveat" w:hAnsi="Caveat"/>
          <w:sz w:val="40"/>
          <w:szCs w:val="40"/>
          <w:rtl w:val="0"/>
        </w:rPr>
        <w:t xml:space="preserve"> siècle. Archivé par précaution depuis.</w:t>
      </w:r>
    </w:p>
    <w:p w:rsidR="00000000" w:rsidDel="00000000" w:rsidP="00000000" w:rsidRDefault="00000000" w:rsidRPr="00000000" w14:paraId="00000005">
      <w:pPr>
        <w:spacing w:after="0" w:line="240" w:lineRule="auto"/>
        <w:ind w:firstLine="720"/>
        <w:jc w:val="both"/>
        <w:rPr>
          <w:rFonts w:ascii="Caveat" w:cs="Caveat" w:eastAsia="Caveat" w:hAnsi="Caveat"/>
          <w:sz w:val="40"/>
          <w:szCs w:val="40"/>
        </w:rPr>
      </w:pPr>
      <w:r w:rsidDel="00000000" w:rsidR="00000000" w:rsidRPr="00000000">
        <w:rPr>
          <w:rtl w:val="0"/>
        </w:rPr>
      </w:r>
    </w:p>
    <w:p w:rsidR="00000000" w:rsidDel="00000000" w:rsidP="00000000" w:rsidRDefault="00000000" w:rsidRPr="00000000" w14:paraId="00000006">
      <w:pPr>
        <w:spacing w:after="0" w:line="240" w:lineRule="auto"/>
        <w:ind w:firstLine="720"/>
        <w:jc w:val="both"/>
        <w:rPr>
          <w:rFonts w:ascii="Caveat" w:cs="Caveat" w:eastAsia="Caveat" w:hAnsi="Caveat"/>
          <w:sz w:val="40"/>
          <w:szCs w:val="40"/>
        </w:rPr>
      </w:pPr>
      <w:r w:rsidDel="00000000" w:rsidR="00000000" w:rsidRPr="00000000">
        <w:rPr>
          <w:rFonts w:ascii="Caveat" w:cs="Caveat" w:eastAsia="Caveat" w:hAnsi="Caveat"/>
          <w:sz w:val="40"/>
          <w:szCs w:val="40"/>
          <w:rtl w:val="0"/>
        </w:rPr>
        <w:t xml:space="preserve">Il est nécessaire de réunir au moins trois mages ou sorciers consentants (sous la menace au besoin), parfois plus selon le type de passage. Une grande concentration est exigée. Ce sort est gourmand en énergie, il est fréquent que des mages meurent pendant la psalmodie, ou peu de temps après. Prévoir donc des mages de secours. </w:t>
      </w:r>
    </w:p>
    <w:p w:rsidR="00000000" w:rsidDel="00000000" w:rsidP="00000000" w:rsidRDefault="00000000" w:rsidRPr="00000000" w14:paraId="00000007">
      <w:pPr>
        <w:spacing w:after="0" w:line="240" w:lineRule="auto"/>
        <w:ind w:firstLine="720"/>
        <w:jc w:val="both"/>
        <w:rPr>
          <w:rFonts w:ascii="Caveat" w:cs="Caveat" w:eastAsia="Caveat" w:hAnsi="Caveat"/>
          <w:sz w:val="40"/>
          <w:szCs w:val="40"/>
        </w:rPr>
      </w:pPr>
      <w:r w:rsidDel="00000000" w:rsidR="00000000" w:rsidRPr="00000000">
        <w:rPr>
          <w:rFonts w:ascii="Caveat" w:cs="Caveat" w:eastAsia="Caveat" w:hAnsi="Caveat"/>
          <w:sz w:val="40"/>
          <w:szCs w:val="40"/>
          <w:rtl w:val="0"/>
        </w:rPr>
        <w:t xml:space="preserve">Les mages se tiendront par la main face à la porte et prononceront en psalmodie continue la phrase suivante : </w:t>
      </w:r>
    </w:p>
    <w:p w:rsidR="00000000" w:rsidDel="00000000" w:rsidP="00000000" w:rsidRDefault="00000000" w:rsidRPr="00000000" w14:paraId="00000008">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Caveat" w:cs="Caveat" w:eastAsia="Caveat" w:hAnsi="Caveat"/>
          <w:color w:val="212121"/>
          <w:sz w:val="40"/>
          <w:szCs w:val="40"/>
        </w:rPr>
      </w:pPr>
      <w:r w:rsidDel="00000000" w:rsidR="00000000" w:rsidRPr="00000000">
        <w:rPr>
          <w:rFonts w:ascii="Caveat" w:cs="Caveat" w:eastAsia="Caveat" w:hAnsi="Caveat"/>
          <w:color w:val="212121"/>
          <w:sz w:val="40"/>
          <w:szCs w:val="40"/>
          <w:rtl w:val="0"/>
        </w:rPr>
        <w:t xml:space="preserve">« His verbis idcirco praecipio tibi ut te claudere usque in sempiternum, satanica tentationis in spelunca diaboli tuus magicae deficit et evanescit. »</w:t>
      </w:r>
    </w:p>
    <w:p w:rsidR="00000000" w:rsidDel="00000000" w:rsidP="00000000" w:rsidRDefault="00000000" w:rsidRPr="00000000" w14:paraId="00000009">
      <w:pPr>
        <w:spacing w:after="0" w:line="240" w:lineRule="auto"/>
        <w:ind w:firstLine="720"/>
        <w:jc w:val="both"/>
        <w:rPr>
          <w:rFonts w:ascii="Caveat" w:cs="Caveat" w:eastAsia="Caveat" w:hAnsi="Caveat"/>
          <w:sz w:val="40"/>
          <w:szCs w:val="40"/>
        </w:rPr>
      </w:pPr>
      <w:r w:rsidDel="00000000" w:rsidR="00000000" w:rsidRPr="00000000">
        <w:rPr>
          <w:rtl w:val="0"/>
        </w:rPr>
      </w:r>
    </w:p>
    <w:p w:rsidR="00000000" w:rsidDel="00000000" w:rsidP="00000000" w:rsidRDefault="00000000" w:rsidRPr="00000000" w14:paraId="0000000A">
      <w:pPr>
        <w:spacing w:after="0" w:line="240" w:lineRule="auto"/>
        <w:ind w:firstLine="720"/>
        <w:jc w:val="both"/>
        <w:rPr>
          <w:rFonts w:ascii="Caveat" w:cs="Caveat" w:eastAsia="Caveat" w:hAnsi="Caveat"/>
          <w:sz w:val="40"/>
          <w:szCs w:val="40"/>
        </w:rPr>
      </w:pPr>
      <w:bookmarkStart w:colFirst="0" w:colLast="0" w:name="_gjdgxs" w:id="0"/>
      <w:bookmarkEnd w:id="0"/>
      <w:r w:rsidDel="00000000" w:rsidR="00000000" w:rsidRPr="00000000">
        <w:rPr>
          <w:rFonts w:ascii="Caveat" w:cs="Caveat" w:eastAsia="Caveat" w:hAnsi="Caveat"/>
          <w:sz w:val="40"/>
          <w:szCs w:val="40"/>
          <w:rtl w:val="0"/>
        </w:rPr>
        <w:t xml:space="preserve">Il est prudent de se tenir éloigné de la porte car la destruction peut provoquer éboulements et explosions. Les mages survivants auront besoin de 24h de repos afin d’être de nouveau utiles. Néanmoins même en observant ce temps de repos, un même mage peut rarement fermer plus de 3 portes avant de succomber au sort. </w:t>
      </w:r>
    </w:p>
    <w:p w:rsidR="00000000" w:rsidDel="00000000" w:rsidP="00000000" w:rsidRDefault="00000000" w:rsidRPr="00000000" w14:paraId="0000000B">
      <w:pPr>
        <w:rPr>
          <w:rFonts w:ascii="Caveat" w:cs="Caveat" w:eastAsia="Caveat" w:hAnsi="Caveat"/>
          <w:sz w:val="36"/>
          <w:szCs w:val="36"/>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aveat">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Caveat-regular.ttf"/><Relationship Id="rId2" Type="http://schemas.openxmlformats.org/officeDocument/2006/relationships/font" Target="fonts/Caveat-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